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C63" w:rsidRPr="007F4C7B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7F4C7B">
        <w:rPr>
          <w:rFonts w:ascii="Times New Roman" w:eastAsia="Cambria" w:hAnsi="Times New Roman" w:cs="Times New Roman"/>
          <w:b/>
          <w:sz w:val="24"/>
          <w:szCs w:val="24"/>
        </w:rPr>
        <w:t>Additional files:</w:t>
      </w:r>
    </w:p>
    <w:p w:rsidR="00625C63" w:rsidRPr="007F4C7B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7F4C7B">
        <w:rPr>
          <w:rFonts w:ascii="Times New Roman" w:eastAsia="Cambria" w:hAnsi="Times New Roman" w:cs="Times New Roman"/>
          <w:b/>
          <w:sz w:val="24"/>
          <w:szCs w:val="24"/>
        </w:rPr>
        <w:t xml:space="preserve">Additional file 1: </w:t>
      </w:r>
    </w:p>
    <w:p w:rsidR="00F708CE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mbria" w:hAnsi="Times New Roman" w:cs="Times New Roman"/>
          <w:b/>
          <w:sz w:val="24"/>
          <w:szCs w:val="24"/>
        </w:rPr>
        <w:t>Supplementary Materials and methods.</w:t>
      </w:r>
      <w:r w:rsidRPr="007F4C7B">
        <w:rPr>
          <w:rFonts w:ascii="Times New Roman" w:eastAsia="Cambria" w:hAnsi="Times New Roman" w:cs="Times New Roman"/>
          <w:sz w:val="24"/>
          <w:szCs w:val="24"/>
        </w:rPr>
        <w:t xml:space="preserve">  </w:t>
      </w:r>
      <w:r>
        <w:rPr>
          <w:rFonts w:ascii="Times New Roman" w:eastAsia="Cambria" w:hAnsi="Times New Roman" w:cs="Times New Roman"/>
          <w:sz w:val="24"/>
          <w:szCs w:val="24"/>
        </w:rPr>
        <w:t>D</w:t>
      </w:r>
      <w:r w:rsidRPr="007F4C7B">
        <w:rPr>
          <w:rFonts w:ascii="Times New Roman" w:eastAsia="Cambria" w:hAnsi="Times New Roman" w:cs="Times New Roman"/>
          <w:sz w:val="24"/>
          <w:szCs w:val="24"/>
        </w:rPr>
        <w:t>escription of</w:t>
      </w:r>
      <w:r w:rsidR="00F708CE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="00F708CE" w:rsidRPr="00F708CE">
        <w:rPr>
          <w:rFonts w:ascii="Times New Roman" w:eastAsia="Cambria" w:hAnsi="Times New Roman" w:cs="Times New Roman"/>
          <w:sz w:val="24"/>
          <w:szCs w:val="24"/>
          <w:lang w:eastAsia="en-US"/>
        </w:rPr>
        <w:t>i</w:t>
      </w:r>
      <w:r w:rsidR="00F708CE" w:rsidRPr="00F708CE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solation of </w:t>
      </w:r>
      <w:r w:rsidR="00F708CE">
        <w:rPr>
          <w:rFonts w:ascii="Times New Roman" w:eastAsia="Cambria" w:hAnsi="Times New Roman" w:cs="Times New Roman"/>
          <w:sz w:val="24"/>
          <w:szCs w:val="24"/>
          <w:lang w:eastAsia="en-US"/>
        </w:rPr>
        <w:t>cell populations from</w:t>
      </w:r>
      <w:r w:rsidR="00F708CE" w:rsidRPr="00F708CE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peripheral blood </w:t>
      </w:r>
      <w:r w:rsidR="00F708CE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and tissue </w:t>
      </w:r>
      <w:r w:rsidR="00F708CE" w:rsidRPr="00F708CE">
        <w:rPr>
          <w:rFonts w:ascii="Times New Roman" w:eastAsia="Cambria" w:hAnsi="Times New Roman" w:cs="Times New Roman"/>
          <w:sz w:val="24"/>
          <w:szCs w:val="24"/>
          <w:lang w:eastAsia="en-US"/>
        </w:rPr>
        <w:t>of GBM patients</w:t>
      </w:r>
      <w:r w:rsidR="00F708CE" w:rsidRPr="00F708CE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, </w:t>
      </w:r>
      <w:r w:rsidR="00F708CE">
        <w:rPr>
          <w:rFonts w:ascii="Times New Roman" w:eastAsia="Cambria" w:hAnsi="Times New Roman" w:cs="Times New Roman"/>
          <w:sz w:val="24"/>
          <w:szCs w:val="24"/>
        </w:rPr>
        <w:t>p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reparation of lipid </w:t>
      </w:r>
      <w:proofErr w:type="spellStart"/>
      <w:r w:rsidR="00F708CE" w:rsidRPr="00F708CE">
        <w:rPr>
          <w:rFonts w:ascii="Times New Roman" w:eastAsia="Cambria" w:hAnsi="Times New Roman" w:cs="Times New Roman"/>
          <w:sz w:val="24"/>
          <w:szCs w:val="24"/>
        </w:rPr>
        <w:t>nanocapsules</w:t>
      </w:r>
      <w:proofErr w:type="spellEnd"/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, 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LNC incorporation </w:t>
      </w:r>
      <w:r w:rsidR="00F708CE">
        <w:rPr>
          <w:rFonts w:ascii="Times New Roman" w:eastAsia="Cambria" w:hAnsi="Times New Roman" w:cs="Times New Roman"/>
          <w:sz w:val="24"/>
          <w:szCs w:val="24"/>
        </w:rPr>
        <w:t>studies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, </w:t>
      </w:r>
      <w:proofErr w:type="spellStart"/>
      <w:r w:rsidR="00F708CE">
        <w:rPr>
          <w:rFonts w:ascii="Times New Roman" w:eastAsia="Cambria" w:hAnsi="Times New Roman" w:cs="Times New Roman"/>
          <w:sz w:val="24"/>
          <w:szCs w:val="24"/>
        </w:rPr>
        <w:t>m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>ultiparametric</w:t>
      </w:r>
      <w:proofErr w:type="spellEnd"/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 flow cytometry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, </w:t>
      </w:r>
      <w:r w:rsidR="00F708CE">
        <w:rPr>
          <w:rFonts w:ascii="Times New Roman" w:eastAsia="Cambria" w:hAnsi="Times New Roman" w:cs="Times New Roman"/>
          <w:sz w:val="24"/>
          <w:szCs w:val="24"/>
        </w:rPr>
        <w:t>c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>onfocal microscopy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 xml:space="preserve">, </w:t>
      </w:r>
      <w:r w:rsidR="00F708CE">
        <w:rPr>
          <w:rFonts w:ascii="Times New Roman" w:eastAsia="Cambria" w:hAnsi="Times New Roman" w:cs="Times New Roman"/>
          <w:sz w:val="24"/>
          <w:szCs w:val="24"/>
        </w:rPr>
        <w:t>s</w:t>
      </w:r>
      <w:r w:rsidR="00F708CE" w:rsidRPr="00F708CE">
        <w:rPr>
          <w:rFonts w:ascii="Times New Roman" w:eastAsia="Cambria" w:hAnsi="Times New Roman" w:cs="Times New Roman"/>
          <w:sz w:val="24"/>
          <w:szCs w:val="24"/>
        </w:rPr>
        <w:t>tatistical analysis</w:t>
      </w:r>
      <w:r w:rsidR="00F708CE">
        <w:rPr>
          <w:rFonts w:ascii="Times New Roman" w:eastAsia="Cambria" w:hAnsi="Times New Roman" w:cs="Times New Roman"/>
          <w:sz w:val="24"/>
          <w:szCs w:val="24"/>
        </w:rPr>
        <w:t>.</w:t>
      </w:r>
    </w:p>
    <w:p w:rsidR="00625C63" w:rsidRDefault="00625C63" w:rsidP="00F708CE">
      <w:pPr>
        <w:spacing w:line="48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625C63" w:rsidRPr="005C2C57" w:rsidRDefault="00625C63" w:rsidP="00F708CE">
      <w:pPr>
        <w:spacing w:line="48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5C2C57">
        <w:rPr>
          <w:rFonts w:ascii="Times New Roman" w:eastAsia="Cambria" w:hAnsi="Times New Roman" w:cs="Times New Roman"/>
          <w:b/>
          <w:sz w:val="28"/>
          <w:szCs w:val="28"/>
        </w:rPr>
        <w:t>Supplementary Materials and Methods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Isolation of PBLs and PBMCs from peripheral blood of HDs and GBM patients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Peripheral blood was collected from HDs and GBM patients and subjected to lysis to remove red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blood cells, with a hypotonic solution of ammonium chloride potassium composed of NH4Cl 1.54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 (Sigma-Aldrich), KHCO3 0.01 Mm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Analytical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Carlo Erba) and EDTA 0.5 M (Sigma-Aldrich).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2.5 ml of peripheral blood were lysed by adding 25 ml of lysing solution for 5 minutes at room</w:t>
      </w:r>
      <w:r w:rsidR="00F708CE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temperature (RT). At the end of the incubation, lysing solution was diluted adding 10 ml of</w:t>
      </w:r>
      <w:r w:rsidR="00F708CE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complete RPMI medium composed of RPMI (Roswell Park Memorial Institute Medium,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Euroclone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) culture medium supplemented with 10% of fetal bovine serum (FBS,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Gibco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Thermo</w:t>
      </w:r>
      <w:proofErr w:type="spellEnd"/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Fisher), 10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of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Hepes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Lonza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100 U/ml of Penicillin/Streptavidin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Lonza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), 0.28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of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Asparagine (Sigma-Aldrich), 1.5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of Glutamine (Sigma-Aldrich) and 0.67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of Arginine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(Sigma-Aldrich). After centrifugation, cell pellet was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resuspended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in complete RPMI medium and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viable PBLs were counted by trypan blue exclusion.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Peripheral blood mononuclear cells (PBMCs) were isolated from peripheral blood by density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gradient centrifugation on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Ficoll-Paque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PLUS (GE Healthcare-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Amersham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, NJ, USA), as previously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described,44 followed by dextran sedimentation to obtain PMNs, as previously described. 44 PBMCs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and PMNs were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resuspended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in complete RPMI medium and counted by trypan blue exclusion.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GBM tissue processing to obtain a single-cell suspension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GBM tumors were processed immediately after resection. They were extensively washed with 0.9%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lastRenderedPageBreak/>
        <w:t>sodium chloride to remove peripheral blood, and then subjected to enzymatic digestion using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human Tumor Dissociation Kit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) and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gentleMACSTM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Octo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Dissociator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with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heaters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following manufacturer’s instructions for soft tumor digestion. If residual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erythrocytes were present, cell pellet was lysed by adding 10 ml of lysing solution for 3’ at RT. At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the end of incubation, 10 ml of complete RPMI medium were added and, after centrifugation, cell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pellet was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resuspended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in the same medium to count viable cells by trypan blue exclusion. If debris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or myelin residues were present in cell suspension, they were removed in order to avoid interference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with LNC uptake, using debris removal solution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following manufacturer’s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instructions.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Chemicals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Labrafac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® WL 1349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Labrafac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caprylic-capric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acid triglycerides) was provided by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Gattefossé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S.A.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(Saint-Priest, France).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Kolliphor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® HS15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Kol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, formerly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Solutol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® HS15; mixture of free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polyethylene glycol 660 and polyethylene glycol 660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hydroxystearate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 were supplied by BASF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(Ludwigshafen, Germany). Deionized water was obtained from a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Milli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-Q plus system (Millipore,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Paris, France). Span® 80 (Span 80), Tween® 80 (Tween 80),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dodecanoic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anhydride, sodium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chloride, urea and acid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lauric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were purchased from Sigma (St Quentin-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Fallavier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, France). Ethanol,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dichloromethane and methanol were purchased from Fischer Scientific (Loughborough, United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Kingdom).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Didodecyldimethylammonium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bromide (DDAB) and Stearic acid (SA) were provided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by Sigma (St Quentin-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Fallavier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, France). DID (1,1’-dioctadecyl-3,3,3’,3’-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tetramethylindocarbocyanine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4-chlorobenzenesulfonate) was provided by Molecular Probes (R)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(Eugene, OR).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 xml:space="preserve">Preparation of lipid </w:t>
      </w:r>
      <w:proofErr w:type="spellStart"/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nanocapsules</w:t>
      </w:r>
      <w:proofErr w:type="spellEnd"/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To prepare lipid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nanocapsules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, an initial emulsion constituted by the oil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Labrafac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®), surfactant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(Kolliphor®HS15 and Span®80), water, and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NaCl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was heated up to 75 °C under magnetic stirring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and then cooled to 45 °C. This temperature cycle was repeated three times. During the last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temperature decrease, at the phase inversion temperature (55 °C), an irreversible shock was induced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lastRenderedPageBreak/>
        <w:t>by dilution with pure water. Finally, a gentle magnetic stirring was maintained for 5’. 15 The sample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was stirred for 1h in a water bath at 60°C. Then, the same process described for the blank systems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was carried out. Positive LNCs were prepared by adding 0.55, 1.1, 2.2 or 3.3% of DDAB (% m/m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of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Labrafac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 to the oily mixture, negative LNCs were prepared by adding 3.3% of SA (% m/m of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Labrafac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) to the oily mixture. Fluorescent labelled LNCs were prepared using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as fluorescent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probe. Briefly, 74 μl of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-acetone solution (5 mg/ml) were added in a vial to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theoily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mixture,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then the LNCs were formulated as described above.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LNC incorporation by cell populations in peripheral blood and tumor tissue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PBLs, PBMCs, or tumor cell suspension obtained as previously described were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resuspended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in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complete RPMI medium at a final concentration of 106 cells/ml in polypropylene round-bottom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tubes pre-coated with FBS in order to prevent cell adhesion. LNC formulations were diluted in the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same medium in order to obtain the final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concentration of 50 ng/ml and incubated with the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cells for 90 minutes, 3 hours, or overnight at 37°C with 5% of CO2. As control, Blank-LNC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formulations were used at the same LNC concentration of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-loaded LNCs (137 μg/ml). At the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end of the incubation, cells were washed twice with culture medium to remove non-incorporated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LNCs and then stained with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fluorochrome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-conjugated monoclonal antibodies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mAbs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 to perform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flow cytometry analysis.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To understand the mechanisms of LNC internalization, PBLs and tumor cell suspension were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resuspended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in complete RPMI medium at a cell concentration of 106 cells/ml and incubated with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10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μg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/ml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Cytochalasin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B (Sigma-Aldrich) for 2 h, 100 μg/ml Colchicine (Sigma-Aldrich) for 2h, 50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μM LY294002 hydrochloride (Sigma-Aldrich) for 45’, 100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nM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Wortmannin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(Sigma-Aldrich) for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30’, and 100 U/ml Nystatin for 15’. At the end of incubation,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DiD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-LNCs and Blank-LNCs were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added as previously described. After 3h (PBLs) or overnight (tumor cell suspension) incubation,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cells were washed twice with culture medium and stained for flow cytometry analysis.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proofErr w:type="spellStart"/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Multiparametric</w:t>
      </w:r>
      <w:proofErr w:type="spellEnd"/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 xml:space="preserve"> flow cytometry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lastRenderedPageBreak/>
        <w:t>For flow cytometry staining, cells were washed with Dulbecco’s phosphate buffered saline (PBS,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LONZA) plus 1% FBS and incubated with Fc-Receptor Blocking reagent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FcR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 at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4°C for 10 minutes. Then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fluorochrome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-conjugated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mAbs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were added for 20 minutes at 4°C. At the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end of incubation, cells were washed and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resuspended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in PBS plus 1% FBS for flow cytometry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acquisition.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Leucocyte subsets were identified by staining with anti-CD14 FITC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anti-CD15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V450 (BD Biosciences), anti-IL4Rα PE (R&amp;D Systems), anti-HLA-DR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PerCP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Cy5.5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Biolegend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anti-CD16 FITC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anti-CD11b PE (Beckman Coulter), anti-CD3 PE-Cy7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(Beckman Coulter), anti-CD19 FITC (BD Biosciences), and anti-CD56 FITC (BD Biosciences).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Tumor cell suspension was stained with LIVE/DEAD Fixable Aqua (Life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Techonologies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anti-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CD45 BV421 (BD Biosciences), anti-CD14 FITC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Miltenyi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Biotec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anti-HLA-DR PerCP-Cy5.5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Biolegend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), and anti-CD49D PE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BioLegend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Data acquisition was performed using LSRII flow cytometer (BD Biosciences) equipped with 4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lasers (405nm, 488nm, 561nm, 640nm), and results were analyzed by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FlowJo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software (Three Star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Inc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).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Fluorescence minus one (FMO) controls for HLA-DR and IL4Rα were used as negative controls.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All antibodies used for flow cytometry were titrated in a lot-dependent manner.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Confocal microscopy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PBMCs and PMNs were incubated with neutral 100 nm LNCs and nystatin inhibitor as specified for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flow cytometry analysis. Afterwards, 5*105 PBMCs and PMNs were seeded on coverslips for 2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hours in 24-well plates and washed three times with PBS to eliminate non-adhering cells, fixed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with 4% paraformaldehyde (Sigma-Aldrich) for 10 min at RT, and blocked with PBS 0,05% Triton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plus 20% NGS (normal goat serum, Vector Laboratories, Burlingame, CA, USA) for 2 hours at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RT. Nuclei were counterstained with DAPI (Sigma-Aldrich). Samples were analyzed under a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laser scanning confocal microscope (Leica TCS SP5,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Wetzlar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, Germany) equipped with 4 lasers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(405nm/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lastRenderedPageBreak/>
        <w:t>Argon-458,476,488,494,514nm-/ 561nm/ 633nm), and results were analyzed by Las X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(Leica MICROSYSTEMS).</w:t>
      </w:r>
    </w:p>
    <w:p w:rsidR="00625C63" w:rsidRPr="00625C63" w:rsidRDefault="00625C63" w:rsidP="00F708CE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b/>
          <w:sz w:val="24"/>
          <w:szCs w:val="24"/>
          <w:lang w:eastAsia="en-US"/>
        </w:rPr>
        <w:t>Statistical analysis</w:t>
      </w:r>
    </w:p>
    <w:p w:rsidR="004D14C4" w:rsidRPr="00625C63" w:rsidRDefault="00625C63" w:rsidP="00A96788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  <w:lang w:eastAsia="en-US"/>
        </w:rPr>
      </w:pP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The Mann-Whitney and the Student t-test were used as appropriate to evaluate statistically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significant variations between groups of samples. All tests were two-sided and a P &lt; 0.05 was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considered statistically significant. Absence of significance was not reported for brevity. Statistical</w:t>
      </w:r>
      <w:r w:rsidR="00A96788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</w:t>
      </w:r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analyses were performed using the 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Sigmaplot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software (</w:t>
      </w:r>
      <w:proofErr w:type="spellStart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>Systat</w:t>
      </w:r>
      <w:proofErr w:type="spellEnd"/>
      <w:r w:rsidRPr="00625C63">
        <w:rPr>
          <w:rFonts w:ascii="Times New Roman" w:eastAsia="Cambria" w:hAnsi="Times New Roman" w:cs="Times New Roman"/>
          <w:sz w:val="24"/>
          <w:szCs w:val="24"/>
          <w:lang w:eastAsia="en-US"/>
        </w:rPr>
        <w:t xml:space="preserve"> Software Inc., CA, USA).</w:t>
      </w:r>
      <w:bookmarkStart w:id="0" w:name="_GoBack"/>
      <w:bookmarkEnd w:id="0"/>
    </w:p>
    <w:sectPr w:rsidR="004D14C4" w:rsidRPr="00625C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C63"/>
    <w:rsid w:val="001D6555"/>
    <w:rsid w:val="00625C63"/>
    <w:rsid w:val="00A96788"/>
    <w:rsid w:val="00C7066E"/>
    <w:rsid w:val="00F7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25C63"/>
    <w:pPr>
      <w:spacing w:after="0"/>
    </w:pPr>
    <w:rPr>
      <w:rFonts w:ascii="Arial" w:eastAsia="Arial" w:hAnsi="Arial" w:cs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25C63"/>
    <w:pPr>
      <w:spacing w:after="0"/>
    </w:pPr>
    <w:rPr>
      <w:rFonts w:ascii="Arial" w:eastAsia="Arial" w:hAnsi="Arial" w:cs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1291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Pinton</dc:creator>
  <cp:lastModifiedBy>Laura Pinton</cp:lastModifiedBy>
  <cp:revision>4</cp:revision>
  <dcterms:created xsi:type="dcterms:W3CDTF">2019-12-04T18:24:00Z</dcterms:created>
  <dcterms:modified xsi:type="dcterms:W3CDTF">2019-12-04T18:38:00Z</dcterms:modified>
</cp:coreProperties>
</file>